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8EF1" w14:textId="77777777" w:rsidR="007639DD" w:rsidRPr="000B12DC" w:rsidRDefault="007639DD" w:rsidP="000B12DC">
      <w:pPr>
        <w:rPr>
          <w:b/>
          <w:bCs/>
          <w:color w:val="00B0F0"/>
          <w:sz w:val="28"/>
          <w:szCs w:val="28"/>
        </w:rPr>
      </w:pPr>
      <w:r w:rsidRPr="000B12DC">
        <w:rPr>
          <w:b/>
          <w:bCs/>
          <w:color w:val="00B0F0"/>
          <w:sz w:val="28"/>
          <w:szCs w:val="28"/>
        </w:rPr>
        <w:t xml:space="preserve">Learn more about the transition to EmpiRx Health </w:t>
      </w:r>
    </w:p>
    <w:p w14:paraId="00379064" w14:textId="77777777" w:rsidR="007639DD" w:rsidRPr="007639DD" w:rsidRDefault="007639DD" w:rsidP="007639DD">
      <w:pPr>
        <w:spacing w:after="0" w:line="240" w:lineRule="auto"/>
        <w:rPr>
          <w:rFonts w:ascii="Aptos" w:eastAsia="Times New Roman" w:hAnsi="Aptos" w:cs="Calibri"/>
          <w:b/>
          <w:kern w:val="0"/>
          <w14:ligatures w14:val="none"/>
        </w:rPr>
      </w:pPr>
    </w:p>
    <w:p w14:paraId="6EAB01D3"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Will I have to change my pharmacy? </w:t>
      </w:r>
    </w:p>
    <w:p w14:paraId="3171F005"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EmpiRx Health partners with nearly all retail chains and most independent pharmacies. In most cases, that means you won’t need to change your pharmacy.</w:t>
      </w:r>
    </w:p>
    <w:p w14:paraId="7B11B51F"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715E6723"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I receive my maintenance medications by mail. Can I continue that through EmpiRx Health? </w:t>
      </w:r>
    </w:p>
    <w:p w14:paraId="4DA793BD"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 xml:space="preserve">Yes, your valid prescription will transfer automatically to EmpiRx Health’s mail-order pharmacy. Starting in January 2026, contact EmpiRx Health Member Services at </w:t>
      </w:r>
      <w:r w:rsidRPr="007639DD">
        <w:rPr>
          <w:rFonts w:ascii="Aptos" w:eastAsia="Times New Roman" w:hAnsi="Aptos" w:cs="Calibri"/>
          <w:b/>
          <w:kern w:val="0"/>
          <w:sz w:val="22"/>
          <w:szCs w:val="22"/>
          <w14:ligatures w14:val="none"/>
        </w:rPr>
        <w:t>877-814-2303</w:t>
      </w:r>
      <w:r w:rsidRPr="007639DD">
        <w:rPr>
          <w:rFonts w:ascii="Aptos" w:eastAsia="Times New Roman" w:hAnsi="Aptos" w:cs="Calibri"/>
          <w:bCs/>
          <w:kern w:val="0"/>
          <w:sz w:val="22"/>
          <w:szCs w:val="22"/>
          <w14:ligatures w14:val="none"/>
        </w:rPr>
        <w:t xml:space="preserve"> to verify the transfer. You’ll need to verify your mailing address and payment method. You can do this when you call member services or via the EmpiRx Health member portal.</w:t>
      </w:r>
    </w:p>
    <w:p w14:paraId="30DB9466"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Do I need a new prescription from my provider? </w:t>
      </w:r>
    </w:p>
    <w:p w14:paraId="72D8E59E"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 xml:space="preserve">No, if you have refills remaining on a prescription, you don’t need a new one. </w:t>
      </w:r>
    </w:p>
    <w:p w14:paraId="05EDD311"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0FC6DF9D"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What does this mean for my current medications? </w:t>
      </w:r>
    </w:p>
    <w:p w14:paraId="5B7D327F"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 xml:space="preserve">EmpiRx Health is reviewing all current prescriptions to ensure they align with its clinical guidelines. In some cases, EmpiRx may contact you or your dependents by mail with recommendations—such as switching to a different medication (if yours isn’t covered) or enrolling in a step therapy program. EmpiRx may also require </w:t>
      </w:r>
      <w:r w:rsidRPr="007639DD">
        <w:rPr>
          <w:rFonts w:ascii="Aptos" w:eastAsia="Times New Roman" w:hAnsi="Aptos" w:cs="Calibri"/>
          <w:b/>
          <w:kern w:val="0"/>
          <w:sz w:val="22"/>
          <w:szCs w:val="22"/>
          <w14:ligatures w14:val="none"/>
        </w:rPr>
        <w:t>prior authorization</w:t>
      </w:r>
      <w:r w:rsidRPr="007639DD">
        <w:rPr>
          <w:rFonts w:ascii="Aptos" w:eastAsia="Times New Roman" w:hAnsi="Aptos" w:cs="Calibri"/>
          <w:bCs/>
          <w:kern w:val="0"/>
          <w:sz w:val="22"/>
          <w:szCs w:val="22"/>
          <w14:ligatures w14:val="none"/>
        </w:rPr>
        <w:t xml:space="preserve"> to continue your current medication. EmpiRx will work directly with your healthcare provider to support any suggested changes and ensure continuity of care. </w:t>
      </w:r>
      <w:r w:rsidRPr="007639DD">
        <w:rPr>
          <w:rFonts w:ascii="Aptos" w:eastAsia="Times New Roman" w:hAnsi="Aptos" w:cs="Calibri"/>
          <w:b/>
          <w:kern w:val="0"/>
          <w:sz w:val="22"/>
          <w:szCs w:val="22"/>
          <w14:ligatures w14:val="none"/>
        </w:rPr>
        <w:t>Your provider will always have the final say in determining your treatment plan.</w:t>
      </w:r>
      <w:r w:rsidRPr="007639DD">
        <w:rPr>
          <w:rFonts w:ascii="Aptos" w:eastAsia="Times New Roman" w:hAnsi="Aptos" w:cs="Calibri"/>
          <w:bCs/>
          <w:kern w:val="0"/>
          <w:sz w:val="22"/>
          <w:szCs w:val="22"/>
          <w14:ligatures w14:val="none"/>
        </w:rPr>
        <w:t xml:space="preserve"> If a clinical review is appropriate for you and your provider agrees with </w:t>
      </w:r>
      <w:proofErr w:type="spellStart"/>
      <w:r w:rsidRPr="007639DD">
        <w:rPr>
          <w:rFonts w:ascii="Aptos" w:eastAsia="Times New Roman" w:hAnsi="Aptos" w:cs="Calibri"/>
          <w:bCs/>
          <w:kern w:val="0"/>
          <w:sz w:val="22"/>
          <w:szCs w:val="22"/>
          <w14:ligatures w14:val="none"/>
        </w:rPr>
        <w:t>EmpiRx’s</w:t>
      </w:r>
      <w:proofErr w:type="spellEnd"/>
      <w:r w:rsidRPr="007639DD">
        <w:rPr>
          <w:rFonts w:ascii="Aptos" w:eastAsia="Times New Roman" w:hAnsi="Aptos" w:cs="Calibri"/>
          <w:bCs/>
          <w:kern w:val="0"/>
          <w:sz w:val="22"/>
          <w:szCs w:val="22"/>
          <w14:ligatures w14:val="none"/>
        </w:rPr>
        <w:t xml:space="preserve"> recommendations, any new EmpiRx requirements will start April 1, 2026.</w:t>
      </w:r>
    </w:p>
    <w:p w14:paraId="6D070F45"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42E1C1CD"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How do I check which tier my medication is in? </w:t>
      </w:r>
    </w:p>
    <w:p w14:paraId="45E2F956" w14:textId="77777777" w:rsidR="009A39E2"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 xml:space="preserve">You can verify the tier (generic, preferred brand, non-preferred brand or specialty) for any medication by checking EmpiRx Health’s </w:t>
      </w:r>
      <w:hyperlink r:id="rId5" w:history="1">
        <w:r w:rsidRPr="007639DD">
          <w:rPr>
            <w:rFonts w:ascii="Aptos" w:eastAsia="Times New Roman" w:hAnsi="Aptos" w:cs="Calibri"/>
            <w:b/>
            <w:color w:val="00548E"/>
            <w:kern w:val="0"/>
            <w:sz w:val="22"/>
            <w:szCs w:val="22"/>
            <w:u w:val="single"/>
            <w14:ligatures w14:val="none"/>
          </w:rPr>
          <w:t>formulary list</w:t>
        </w:r>
      </w:hyperlink>
      <w:r w:rsidRPr="007639DD">
        <w:rPr>
          <w:rFonts w:ascii="Aptos" w:eastAsia="Times New Roman" w:hAnsi="Aptos" w:cs="Calibri"/>
          <w:bCs/>
          <w:kern w:val="0"/>
          <w:sz w:val="22"/>
          <w:szCs w:val="22"/>
          <w14:ligatures w14:val="none"/>
        </w:rPr>
        <w:t xml:space="preserve">*. We expect most medications will remain in the same tier through EmpiRx as they were through Optum Rx. However, your doctor can often direct you to a lower-tier medication for your condition if your medication has moved to a higher tier. </w:t>
      </w:r>
      <w:r w:rsidRPr="007639DD">
        <w:rPr>
          <w:rFonts w:ascii="Aptos" w:eastAsia="Times New Roman" w:hAnsi="Aptos" w:cs="Calibri"/>
          <w:bCs/>
          <w:kern w:val="0"/>
          <w:sz w:val="22"/>
          <w:szCs w:val="22"/>
          <w14:ligatures w14:val="none"/>
        </w:rPr>
        <w:br/>
      </w:r>
    </w:p>
    <w:p w14:paraId="20DD5026" w14:textId="41ED40FD"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*Note: This is the 2025 formulary list; it may be updated for 2026.</w:t>
      </w:r>
    </w:p>
    <w:p w14:paraId="655883D1"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0FC5C3BE"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Is financial assistance available for my prescription? </w:t>
      </w:r>
    </w:p>
    <w:p w14:paraId="30F30932"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Possibly. For certain non-specialty medications, EmpiRx Health partners with a company called Luna Health to obtain copay assistance from drug manufacturers, helping lower your out-of-pocket costs. If your medication is eligible, you’ll receive a letter or call from Luna Health following your first fill in 2026.</w:t>
      </w:r>
    </w:p>
    <w:p w14:paraId="76B48D57"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079F3C11"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I take a prescription specialty medication. What does the transition to EmpiRx Health mean for me? </w:t>
      </w:r>
    </w:p>
    <w:p w14:paraId="02D01C97" w14:textId="6C1C74AC"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Cs/>
          <w:kern w:val="0"/>
          <w:sz w:val="22"/>
          <w:szCs w:val="22"/>
          <w14:ligatures w14:val="none"/>
        </w:rPr>
        <w:t xml:space="preserve">Certain specialty medications have new coverage requirements beginning January 1, 2026. EmpiRx Health partners with a company called Payer Matrix to help members obtain </w:t>
      </w:r>
      <w:hyperlink r:id="rId6" w:history="1">
        <w:r w:rsidRPr="007639DD">
          <w:rPr>
            <w:rFonts w:ascii="Aptos" w:eastAsia="Times New Roman" w:hAnsi="Aptos" w:cs="Calibri"/>
            <w:b/>
            <w:color w:val="00548E"/>
            <w:kern w:val="0"/>
            <w:sz w:val="22"/>
            <w:szCs w:val="22"/>
            <w:u w:val="single"/>
            <w14:ligatures w14:val="none"/>
          </w:rPr>
          <w:t>defined specialty medications</w:t>
        </w:r>
      </w:hyperlink>
      <w:r w:rsidRPr="007639DD">
        <w:rPr>
          <w:rFonts w:ascii="Aptos" w:eastAsia="Times New Roman" w:hAnsi="Aptos" w:cs="Calibri"/>
          <w:bCs/>
          <w:kern w:val="0"/>
          <w:sz w:val="22"/>
          <w:szCs w:val="22"/>
          <w14:ligatures w14:val="none"/>
        </w:rPr>
        <w:t xml:space="preserve">* at little or no cost. If you take one of these medications, you will receive a letter from Payer Matrix in late November, followed by a phone call in early December. Payer Matrix will request certain financial information, such as a W-2 or paystub, so it can work with the drug manufacturer to access the maximum subsidy available for your prescription. </w:t>
      </w:r>
      <w:r w:rsidRPr="007639DD">
        <w:rPr>
          <w:rFonts w:ascii="Aptos" w:eastAsia="Times New Roman" w:hAnsi="Aptos" w:cs="Calibri"/>
          <w:b/>
          <w:kern w:val="0"/>
          <w:sz w:val="22"/>
          <w:szCs w:val="22"/>
          <w14:ligatures w14:val="none"/>
        </w:rPr>
        <w:t xml:space="preserve">Important: If you </w:t>
      </w:r>
      <w:r w:rsidRPr="007639DD">
        <w:rPr>
          <w:rFonts w:ascii="Aptos" w:eastAsia="Times New Roman" w:hAnsi="Aptos" w:cs="Calibri"/>
          <w:b/>
          <w:kern w:val="0"/>
          <w:sz w:val="22"/>
          <w:szCs w:val="22"/>
          <w14:ligatures w14:val="none"/>
        </w:rPr>
        <w:lastRenderedPageBreak/>
        <w:t>receive a call or letter from Payer Matrix, it’s critical that you review in detail and promptly follow the requested next steps. If you don’t, your first fill after Jan. 1 will be denied at the pharmacy as not covered.</w:t>
      </w:r>
    </w:p>
    <w:p w14:paraId="04E57A1E"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728A7949"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*Note: This is the Q4 2025 specialty medications list; it may be updated for Q1 2026.</w:t>
      </w:r>
    </w:p>
    <w:p w14:paraId="455BD2AE"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p>
    <w:p w14:paraId="6EAE40CA" w14:textId="77777777" w:rsidR="007639DD" w:rsidRPr="007639DD" w:rsidRDefault="007639DD" w:rsidP="007639DD">
      <w:pPr>
        <w:spacing w:after="0" w:line="240" w:lineRule="auto"/>
        <w:rPr>
          <w:rFonts w:ascii="Aptos" w:eastAsia="Times New Roman" w:hAnsi="Aptos" w:cs="Calibri"/>
          <w:b/>
          <w:kern w:val="0"/>
          <w:sz w:val="22"/>
          <w:szCs w:val="22"/>
          <w14:ligatures w14:val="none"/>
        </w:rPr>
      </w:pPr>
      <w:r w:rsidRPr="007639DD">
        <w:rPr>
          <w:rFonts w:ascii="Aptos" w:eastAsia="Times New Roman" w:hAnsi="Aptos" w:cs="Calibri"/>
          <w:b/>
          <w:kern w:val="0"/>
          <w:sz w:val="22"/>
          <w:szCs w:val="22"/>
          <w14:ligatures w14:val="none"/>
        </w:rPr>
        <w:t xml:space="preserve">How can I learn more? </w:t>
      </w:r>
    </w:p>
    <w:p w14:paraId="2DF86E95" w14:textId="77777777" w:rsidR="007639DD" w:rsidRPr="007639DD" w:rsidRDefault="007639DD" w:rsidP="007639DD">
      <w:pPr>
        <w:spacing w:after="0" w:line="240" w:lineRule="auto"/>
        <w:rPr>
          <w:rFonts w:ascii="Aptos" w:eastAsia="Times New Roman" w:hAnsi="Aptos" w:cs="Calibri"/>
          <w:bCs/>
          <w:kern w:val="0"/>
          <w:sz w:val="22"/>
          <w:szCs w:val="22"/>
          <w14:ligatures w14:val="none"/>
        </w:rPr>
      </w:pPr>
      <w:r w:rsidRPr="007639DD">
        <w:rPr>
          <w:rFonts w:ascii="Aptos" w:eastAsia="Times New Roman" w:hAnsi="Aptos" w:cs="Calibri"/>
          <w:bCs/>
          <w:kern w:val="0"/>
          <w:sz w:val="22"/>
          <w:szCs w:val="22"/>
          <w14:ligatures w14:val="none"/>
        </w:rPr>
        <w:t xml:space="preserve">Watch your mail later this year for information from EmpiRx Health. Then, beginning in January, visit the EmpiRx Health </w:t>
      </w:r>
      <w:hyperlink r:id="rId7" w:history="1">
        <w:r w:rsidRPr="007639DD">
          <w:rPr>
            <w:rFonts w:ascii="Aptos" w:eastAsia="Times New Roman" w:hAnsi="Aptos" w:cs="Calibri"/>
            <w:b/>
            <w:color w:val="00548E"/>
            <w:kern w:val="0"/>
            <w:sz w:val="22"/>
            <w:szCs w:val="22"/>
            <w:u w:val="single"/>
            <w14:ligatures w14:val="none"/>
          </w:rPr>
          <w:t>member portal</w:t>
        </w:r>
      </w:hyperlink>
      <w:r w:rsidRPr="007639DD">
        <w:rPr>
          <w:rFonts w:ascii="Aptos" w:eastAsia="Times New Roman" w:hAnsi="Aptos" w:cs="Calibri"/>
          <w:bCs/>
          <w:kern w:val="0"/>
          <w:sz w:val="22"/>
          <w:szCs w:val="22"/>
          <w14:ligatures w14:val="none"/>
        </w:rPr>
        <w:t xml:space="preserve"> or download the EmpiRx Health app to access your digital ID card, find in-network pharmacies, review covered and preferred medications, compare drug pricing and find lower-cost alternatives, check prescription coverage and costs, check the status of a clinical review, update your shipping address for medications you receive by mail, request refills for mail-order prescriptions and more.</w:t>
      </w:r>
    </w:p>
    <w:p w14:paraId="2EB724DE" w14:textId="77777777" w:rsidR="007639DD" w:rsidRPr="007639DD" w:rsidRDefault="007639DD" w:rsidP="007639DD">
      <w:pPr>
        <w:spacing w:after="0" w:line="240" w:lineRule="auto"/>
        <w:rPr>
          <w:rFonts w:ascii="Aptos" w:eastAsia="Calibri" w:hAnsi="Aptos" w:cs="Calibri"/>
          <w:b/>
          <w:kern w:val="0"/>
          <w14:ligatures w14:val="none"/>
        </w:rPr>
      </w:pPr>
    </w:p>
    <w:p w14:paraId="2131C2B9" w14:textId="77777777" w:rsidR="001126B0" w:rsidRDefault="001126B0"/>
    <w:sectPr w:rsidR="00112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DD"/>
    <w:rsid w:val="000B12DC"/>
    <w:rsid w:val="001126B0"/>
    <w:rsid w:val="00186D9A"/>
    <w:rsid w:val="00264221"/>
    <w:rsid w:val="002A3E4D"/>
    <w:rsid w:val="007639DD"/>
    <w:rsid w:val="009A39E2"/>
    <w:rsid w:val="00A41982"/>
    <w:rsid w:val="00AF0D91"/>
    <w:rsid w:val="00C412B7"/>
    <w:rsid w:val="00C547CB"/>
    <w:rsid w:val="00D3190B"/>
    <w:rsid w:val="00F33A6B"/>
    <w:rsid w:val="00FB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8612"/>
  <w15:chartTrackingRefBased/>
  <w15:docId w15:val="{D77E91E8-CAFD-4278-8C4F-BB8E71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9DD"/>
    <w:rPr>
      <w:rFonts w:eastAsiaTheme="majorEastAsia" w:cstheme="majorBidi"/>
      <w:color w:val="272727" w:themeColor="text1" w:themeTint="D8"/>
    </w:rPr>
  </w:style>
  <w:style w:type="paragraph" w:styleId="Title">
    <w:name w:val="Title"/>
    <w:basedOn w:val="Normal"/>
    <w:next w:val="Normal"/>
    <w:link w:val="TitleChar"/>
    <w:uiPriority w:val="10"/>
    <w:qFormat/>
    <w:rsid w:val="00763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9DD"/>
    <w:pPr>
      <w:spacing w:before="160"/>
      <w:jc w:val="center"/>
    </w:pPr>
    <w:rPr>
      <w:i/>
      <w:iCs/>
      <w:color w:val="404040" w:themeColor="text1" w:themeTint="BF"/>
    </w:rPr>
  </w:style>
  <w:style w:type="character" w:customStyle="1" w:styleId="QuoteChar">
    <w:name w:val="Quote Char"/>
    <w:basedOn w:val="DefaultParagraphFont"/>
    <w:link w:val="Quote"/>
    <w:uiPriority w:val="29"/>
    <w:rsid w:val="007639DD"/>
    <w:rPr>
      <w:i/>
      <w:iCs/>
      <w:color w:val="404040" w:themeColor="text1" w:themeTint="BF"/>
    </w:rPr>
  </w:style>
  <w:style w:type="paragraph" w:styleId="ListParagraph">
    <w:name w:val="List Paragraph"/>
    <w:basedOn w:val="Normal"/>
    <w:uiPriority w:val="34"/>
    <w:qFormat/>
    <w:rsid w:val="007639DD"/>
    <w:pPr>
      <w:ind w:left="720"/>
      <w:contextualSpacing/>
    </w:pPr>
  </w:style>
  <w:style w:type="character" w:styleId="IntenseEmphasis">
    <w:name w:val="Intense Emphasis"/>
    <w:basedOn w:val="DefaultParagraphFont"/>
    <w:uiPriority w:val="21"/>
    <w:qFormat/>
    <w:rsid w:val="007639DD"/>
    <w:rPr>
      <w:i/>
      <w:iCs/>
      <w:color w:val="0F4761" w:themeColor="accent1" w:themeShade="BF"/>
    </w:rPr>
  </w:style>
  <w:style w:type="paragraph" w:styleId="IntenseQuote">
    <w:name w:val="Intense Quote"/>
    <w:basedOn w:val="Normal"/>
    <w:next w:val="Normal"/>
    <w:link w:val="IntenseQuoteChar"/>
    <w:uiPriority w:val="30"/>
    <w:qFormat/>
    <w:rsid w:val="00763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9DD"/>
    <w:rPr>
      <w:i/>
      <w:iCs/>
      <w:color w:val="0F4761" w:themeColor="accent1" w:themeShade="BF"/>
    </w:rPr>
  </w:style>
  <w:style w:type="character" w:styleId="IntenseReference">
    <w:name w:val="Intense Reference"/>
    <w:basedOn w:val="DefaultParagraphFont"/>
    <w:uiPriority w:val="32"/>
    <w:qFormat/>
    <w:rsid w:val="00763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empirxhealt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etardentbenefits.com/sites/default/files/Member%20Facing%20Drug%20List%20%28Q4%202025%29.pdf" TargetMode="External"/><Relationship Id="rId5" Type="http://schemas.openxmlformats.org/officeDocument/2006/relationships/hyperlink" Target="https://getardentbenefits.com/sites/default/files/EmpiRx%20Formular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8A8A-5CC7-48C1-B5C2-AB3E6EE4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Ardent Health Services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Hubbert</dc:creator>
  <cp:keywords/>
  <dc:description/>
  <cp:lastModifiedBy>Amber Hubbert</cp:lastModifiedBy>
  <cp:revision>5</cp:revision>
  <cp:lastPrinted>2025-10-24T19:16:00Z</cp:lastPrinted>
  <dcterms:created xsi:type="dcterms:W3CDTF">2025-10-24T18:39:00Z</dcterms:created>
  <dcterms:modified xsi:type="dcterms:W3CDTF">2025-11-03T16:27:00Z</dcterms:modified>
</cp:coreProperties>
</file>